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0B" w:rsidRPr="00852109" w:rsidRDefault="00852109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b/>
          <w:sz w:val="20"/>
          <w:szCs w:val="20"/>
        </w:rPr>
        <w:t>Inofficial</w:t>
      </w:r>
      <w:proofErr w:type="spellEnd"/>
      <w:r w:rsidRPr="00852109">
        <w:rPr>
          <w:rFonts w:ascii="Times New Roman" w:hAnsi="Times New Roman" w:cs="Times New Roman"/>
          <w:b/>
          <w:sz w:val="20"/>
          <w:szCs w:val="20"/>
        </w:rPr>
        <w:t xml:space="preserve"> Translation Zulassungsordnung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approval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Ministry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Science, Research 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Arts Baden-Württemberg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establishment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Admission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regulations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Albert Ludwig University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Master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Arts Gender Studies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On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basis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§ 29,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2,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sentences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5 and 6 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conjunction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§ 19,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1,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sentence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2,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. 10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Law on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Universities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Baden-Württemberg (Landeshochschulgesetz - LHG)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January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2005 (GBI.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S. 1), last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amended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Act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February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2011 (GBl. S. 47),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Senate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Albert Ludwig University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adopted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Statutes 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meeting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on 20 April 2011.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§ 1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Commencement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studies</w:t>
      </w:r>
      <w:proofErr w:type="spellEnd"/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The Master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Arts in Gender Studies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Philology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commenced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winter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semester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Applications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must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preceding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2109">
        <w:rPr>
          <w:rFonts w:ascii="Times New Roman" w:hAnsi="Times New Roman" w:cs="Times New Roman"/>
          <w:sz w:val="20"/>
          <w:szCs w:val="20"/>
        </w:rPr>
        <w:t>30 J</w:t>
      </w:r>
      <w:r>
        <w:rPr>
          <w:rFonts w:ascii="Times New Roman" w:hAnsi="Times New Roman" w:cs="Times New Roman"/>
          <w:sz w:val="20"/>
          <w:szCs w:val="20"/>
        </w:rPr>
        <w:t>uly</w:t>
      </w:r>
      <w:bookmarkStart w:id="0" w:name="_GoBack"/>
      <w:bookmarkEnd w:id="0"/>
      <w:r w:rsidRPr="00852109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Albert-Ludwigs-Universität.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§ 2 Admission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requirements</w:t>
      </w:r>
      <w:proofErr w:type="spellEnd"/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(1) Admission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Master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Arts Gender Studies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possible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who</w:t>
      </w:r>
      <w:proofErr w:type="spellEnd"/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at a German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Bachelor's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equivalent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at least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'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duration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at a German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foreign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meets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requirements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set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out in § 2.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meets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qualified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requirements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specified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Paragraph 2,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knowledge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German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corresponding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at least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C1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Common European Framework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Reference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Languages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knowledge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English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corresponding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at least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B2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Common European Framework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Reference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Languages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corresponds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at least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B2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Common European Framework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Reference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Languages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,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acquired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general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relevant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subject-linked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recognised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equivalent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competent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authority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, and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acquired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equal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and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definitively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failed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Master's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Magister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Gender Studies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not lost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/her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entitlement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(2) The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must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prove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he/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solid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knowledge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gender-relevant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questions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problems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such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social power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gender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,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sex 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gender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. This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requires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framework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/her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defined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Paragraph 1,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. 1,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completed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subject-specific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coursework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examinations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totalling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at least 20 ECTS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credits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suitable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evidence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, he/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may</w:t>
      </w:r>
      <w:proofErr w:type="spellEnd"/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suitable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evidence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also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sufficient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knowledge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required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sentence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acquired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context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professional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a gender-sensitive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occupational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§ 3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(1) The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place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shall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form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Albert Ludwig University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Master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Arts Gender Studies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form must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completed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full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signed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must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enclosed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: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lastRenderedPageBreak/>
        <w:t xml:space="preserve">1.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§ 2 Paragraph 1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 1,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2.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meaningful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overview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contents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all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achievements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pursuant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§ 2,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1,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 1 (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Transcript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Records),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suitable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evidence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sufficient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skills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pursuant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2, Paragraph 1,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 2,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4.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general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relevant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subject-related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foreign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and,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furthermore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issued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competent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authority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recognising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equivalence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previous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,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applicable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suitable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evidence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professional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a gender-sensitive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occupation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knowledge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gender-relevant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issues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problems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acquired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thereby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(§ 2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sentence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3),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6.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curriculum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vitae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tabular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form in German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English,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7.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-page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letter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motivation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German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English 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applicant's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personal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reasons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taking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Master's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Gender Studies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explained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>Studies,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8.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declaration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German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he/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definitively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failed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Master's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Magister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Gender Studies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he/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failed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/her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Master's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Magister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Gender Studies.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Master's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Master's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Gender Studies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lost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/her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entitlement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(§ 2 Paragraph 1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 4).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German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general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relevant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subject-related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entrance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separate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sufficient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skills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German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required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skills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German.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required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accordance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sentence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3 nos. 1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German, English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French,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officially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German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English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required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German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English.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(2)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at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time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deadline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pursuant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§ 1,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sentence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2,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already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completed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/her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pursuant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§ 2,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1,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. 1, but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yet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transcript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completed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sufficient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submit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confirmation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completed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grade,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transcript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records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grade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was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completed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transcript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records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on individual grades and ECTS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credits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earned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must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admissions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committee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immediately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at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latest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upon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enrolment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(3)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yet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completed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/her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deadline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pursuant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§ 1,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sentence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2, he/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shall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evidence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expected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achievement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prerequisites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pursuant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§ 2,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sz w:val="20"/>
          <w:szCs w:val="20"/>
        </w:rPr>
        <w:lastRenderedPageBreak/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requirements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pursuant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2,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1,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. 1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means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issued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confirming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all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achievements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grades 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on ECTS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points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achieved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confirmation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grading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must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evidence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grading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thesis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alternatively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submission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at least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registration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thesis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condition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successful</w:t>
      </w:r>
      <w:proofErr w:type="spellEnd"/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condition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successful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completion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accordance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§ 2 Paragraph 1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. 1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Admissions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Committee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immediately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at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latest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, at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time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enrolment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must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Admissions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Commission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(4) The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applicant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shall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submit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paragraph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1 in due time (§ 1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sentence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2) in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Board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Gender Studies (postal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Centre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Anthropology and Gender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>Studies, Albert-Ludwigs-Universität, 79085 Freiburg).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  <w:r w:rsidRPr="00852109">
        <w:rPr>
          <w:rFonts w:ascii="Times New Roman" w:hAnsi="Times New Roman" w:cs="Times New Roman"/>
          <w:sz w:val="20"/>
          <w:szCs w:val="20"/>
        </w:rPr>
        <w:t xml:space="preserve">(5) At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request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Admissions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Committee,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originals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copies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certificates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proofs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mentioned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in Paragraph 1,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Sentence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3, Nos. 1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5 and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Sentence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5 must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109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852109">
        <w:rPr>
          <w:rFonts w:ascii="Times New Roman" w:hAnsi="Times New Roman" w:cs="Times New Roman"/>
          <w:sz w:val="20"/>
          <w:szCs w:val="20"/>
        </w:rPr>
        <w:t>.</w:t>
      </w: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</w:p>
    <w:p w:rsidR="00852109" w:rsidRPr="00852109" w:rsidRDefault="00852109" w:rsidP="00852109">
      <w:pPr>
        <w:rPr>
          <w:rFonts w:ascii="Times New Roman" w:hAnsi="Times New Roman" w:cs="Times New Roman"/>
          <w:sz w:val="20"/>
          <w:szCs w:val="20"/>
        </w:rPr>
      </w:pPr>
    </w:p>
    <w:sectPr w:rsidR="00852109" w:rsidRPr="00852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09"/>
    <w:rsid w:val="004D569A"/>
    <w:rsid w:val="00852109"/>
    <w:rsid w:val="00C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AD18"/>
  <w15:chartTrackingRefBased/>
  <w15:docId w15:val="{9D0420EA-D616-4747-B654-8ED265A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Gender</dc:creator>
  <cp:keywords/>
  <dc:description/>
  <cp:lastModifiedBy>Gender</cp:lastModifiedBy>
  <cp:revision>1</cp:revision>
  <dcterms:created xsi:type="dcterms:W3CDTF">2022-05-31T11:15:00Z</dcterms:created>
  <dcterms:modified xsi:type="dcterms:W3CDTF">2022-05-31T11:17:00Z</dcterms:modified>
</cp:coreProperties>
</file>